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年度国家中心自主设计项目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软科学研究计划专项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申报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指南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年度国家中心自主设计项目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软科学研究计划围绕“十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五”经济社会和科技发展的前瞻性、战略性问题，探索软科学理论和方法的前沿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儿科领域实施“科技新政”“人才新政”，加快建设数字化改革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“互联网＋”和生命健康科技创新高地，以及科技助力“两手硬、两战赢”等方面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应用对策研究，为科技创新工作提供政策与决策支撑。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年度本专项拟在以下三大方向支持研究，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紧密围绕以下选题进行申报，拟定的申报项目名称应当与以下主题相吻合，项目名称的表述应科学、严谨、规范、简明，项目申报指南如下。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研究方向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一：优化创新体系与创新环境的研究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选题如下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在党的领导下完善科技创新制度，以提升科技实力增强医疗服务能力，推进临床医学研究中心和儿童区域医疗中心双向融合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完善科技人才发现、培育、激励机制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浙江省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“数字化改革”政策，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推进医疗健康与互联网深度融合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，建立/优化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</w:rPr>
        <w:t>公立医院互联网+医疗体系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eastAsia="zh-CN"/>
        </w:rPr>
        <w:t>。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/>
        </w:rPr>
        <w:t>1.4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/>
        </w:rPr>
        <w:t>持续落实“深化医改”政策，促进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</w:rPr>
        <w:t>公立医院高质量发展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/>
        </w:rPr>
        <w:t>形成完善的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</w:rPr>
        <w:t>评价体系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shd w:val="clear"/>
          <w:lang w:eastAsia="zh-CN"/>
        </w:rPr>
        <w:t>。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健全科研诚信和学风作风建设工作机制，建立完善的科技监督体系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完善平台建设制度，包括生物样本库、国际合作平台等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建设制度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OLE_LINK2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支持年限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~202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支持项目：2</w:t>
      </w:r>
      <w:r>
        <w:rPr>
          <w:rFonts w:ascii="Times New Roman" w:hAnsi="Times New Roman" w:eastAsia="仿宋_GB2312" w:cs="Times New Roman"/>
          <w:sz w:val="32"/>
          <w:szCs w:val="32"/>
        </w:rPr>
        <w:t>~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5个</w:t>
      </w:r>
      <w:bookmarkEnd w:id="0"/>
    </w:p>
    <w:p>
      <w:pPr>
        <w:numPr>
          <w:ilvl w:val="255"/>
          <w:numId w:val="0"/>
        </w:numPr>
        <w:overflowPunct w:val="0"/>
        <w:spacing w:line="6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研究方向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二：深化科技、医疗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体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制改革的研究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选题如下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进一步扩大科研相关自主权，横向经费使用自主权，项目经费使用“包干制”等研究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加强儿童健康领域科研成果转化，完善成果转移转化机制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完善重大疫情防控体制机制、健全公共卫生应急管理体系，加强突发公共卫生事件医疗救治能力建设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强化公共卫生科技支撑，建立疫情预警和综合监管大数据平台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完善医疗保险救助制度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支持年限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~202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支持项目：2</w:t>
      </w:r>
      <w:r>
        <w:rPr>
          <w:rFonts w:ascii="Times New Roman" w:hAnsi="Times New Roman" w:eastAsia="仿宋_GB2312" w:cs="Times New Roman"/>
          <w:sz w:val="32"/>
          <w:szCs w:val="32"/>
        </w:rPr>
        <w:t>~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5个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研究方向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三：科技创新投入机制的研究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选题如下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强化部门协同和上下联动机制以及引导企业、高校、科研院所等加大医疗研发投入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overflowPunct w:val="0"/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构建多层次、全覆盖、高效率的科技金融服务体系，完善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科研经费（包括纵向科研经费、科研基地专项经费和横向科研经费）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对策措施研究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3.3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科研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绩效评价体系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支持年限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~202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支持项目：2</w:t>
      </w:r>
      <w:r>
        <w:rPr>
          <w:rFonts w:ascii="Times New Roman" w:hAnsi="Times New Roman" w:eastAsia="仿宋_GB2312" w:cs="Times New Roman"/>
          <w:sz w:val="32"/>
          <w:szCs w:val="32"/>
        </w:rPr>
        <w:t>~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5个</w:t>
      </w:r>
    </w:p>
    <w:p>
      <w:pPr>
        <w:overflowPunct w:val="0"/>
        <w:spacing w:line="6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A2BA1"/>
    <w:rsid w:val="055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2021-04-20T01:27:00Z</dcterms:created>
  <dc:creator>hp</dc:creator>
  <cp:lastModifiedBy>饭饭 dora</cp:lastModifiedBy>
  <cp:lastPrinted>2021-05-06T01:52:57Z</cp:lastPrinted>
  <dcterms:modified xsi:type="dcterms:W3CDTF">2021-05-06T01:57:10Z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52624105F2854516B0F79B47880D497F</vt:lpwstr>
  </property>
</Properties>
</file>